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299" w:rsidRDefault="00A26CA2">
      <w:pPr>
        <w:rPr>
          <w:rFonts w:ascii="Arial" w:eastAsia="Arial" w:hAnsi="Arial" w:cs="Arial"/>
          <w:b/>
          <w:sz w:val="36"/>
          <w:szCs w:val="36"/>
        </w:rPr>
      </w:pPr>
      <w:bookmarkStart w:id="0" w:name="_GoBack"/>
      <w:bookmarkEnd w:id="0"/>
      <w:r>
        <w:rPr>
          <w:rFonts w:ascii="Arial" w:eastAsia="Arial" w:hAnsi="Arial" w:cs="Arial"/>
          <w:b/>
          <w:sz w:val="36"/>
          <w:szCs w:val="36"/>
        </w:rPr>
        <w:t>Framework Schedule 4 (Framework Management)</w:t>
      </w:r>
    </w:p>
    <w:p w:rsidR="00041299" w:rsidRDefault="00A26CA2">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041299" w:rsidRDefault="00A26CA2">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2"/>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041299">
        <w:tc>
          <w:tcPr>
            <w:tcW w:w="2928" w:type="dxa"/>
            <w:shd w:val="clear" w:color="auto" w:fill="auto"/>
          </w:tcPr>
          <w:p w:rsidR="00041299" w:rsidRDefault="00A26CA2">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041299" w:rsidRDefault="00A26CA2">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041299">
        <w:tc>
          <w:tcPr>
            <w:tcW w:w="2928" w:type="dxa"/>
            <w:shd w:val="clear" w:color="auto" w:fill="auto"/>
          </w:tcPr>
          <w:p w:rsidR="00041299" w:rsidRDefault="00A26CA2">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041299" w:rsidRDefault="00A26CA2">
            <w:pPr>
              <w:numPr>
                <w:ilvl w:val="0"/>
                <w:numId w:val="1"/>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rsidR="00041299" w:rsidRDefault="00A26CA2">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041299" w:rsidRDefault="00A26CA2">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041299" w:rsidRDefault="00A26CA2">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 w:name="_heading=h.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 and come into effect within two weeks from receipt by the Supplier of the draft Supplier Action P</w:t>
      </w:r>
      <w:r>
        <w:rPr>
          <w:rFonts w:ascii="Arial" w:eastAsia="Arial" w:hAnsi="Arial" w:cs="Arial"/>
          <w:color w:val="000000"/>
          <w:sz w:val="24"/>
          <w:szCs w:val="24"/>
        </w:rPr>
        <w:t xml:space="preserve">lan. </w:t>
      </w:r>
    </w:p>
    <w:p w:rsidR="00041299" w:rsidRDefault="00A26CA2">
      <w:pPr>
        <w:rPr>
          <w:rFonts w:ascii="Arial" w:eastAsia="Arial" w:hAnsi="Arial" w:cs="Arial"/>
          <w:sz w:val="24"/>
          <w:szCs w:val="24"/>
        </w:rPr>
      </w:pPr>
      <w:bookmarkStart w:id="2" w:name="_heading=h.30j0zll" w:colFirst="0" w:colLast="0"/>
      <w:bookmarkEnd w:id="2"/>
      <w:r>
        <w:br w:type="page"/>
      </w:r>
    </w:p>
    <w:p w:rsidR="00041299" w:rsidRDefault="00041299">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w:t>
      </w:r>
      <w:r>
        <w:rPr>
          <w:rFonts w:ascii="Arial" w:eastAsia="Arial" w:hAnsi="Arial" w:cs="Arial"/>
          <w:color w:val="000000"/>
          <w:sz w:val="24"/>
          <w:szCs w:val="24"/>
        </w:rPr>
        <w:t xml:space="preserv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w:t>
      </w:r>
      <w:r>
        <w:rPr>
          <w:rFonts w:ascii="Arial" w:eastAsia="Arial" w:hAnsi="Arial" w:cs="Arial"/>
          <w:color w:val="000000"/>
          <w:sz w:val="24"/>
          <w:szCs w:val="24"/>
        </w:rPr>
        <w:t>Supplier Action Plan as updated from time to time.</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041299" w:rsidRDefault="00A26CA2">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041299" w:rsidRDefault="00041299">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041299" w:rsidRDefault="00A26CA2">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w:t>
      </w:r>
      <w:r>
        <w:rPr>
          <w:rFonts w:ascii="Arial" w:eastAsia="Arial" w:hAnsi="Arial" w:cs="Arial"/>
          <w:b/>
          <w:color w:val="000000"/>
          <w:sz w:val="24"/>
          <w:szCs w:val="24"/>
        </w:rPr>
        <w:t xml:space="preserve"> Performance will be measured</w:t>
      </w:r>
    </w:p>
    <w:p w:rsidR="00041299" w:rsidRDefault="00A26CA2">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rsidR="00041299" w:rsidRDefault="00041299">
      <w:pPr>
        <w:keepNext/>
        <w:tabs>
          <w:tab w:val="left" w:pos="1134"/>
        </w:tabs>
        <w:spacing w:before="120" w:after="120" w:line="240" w:lineRule="auto"/>
        <w:rPr>
          <w:rFonts w:ascii="Arial" w:eastAsia="Arial" w:hAnsi="Arial" w:cs="Arial"/>
          <w:sz w:val="24"/>
          <w:szCs w:val="24"/>
        </w:rPr>
      </w:pPr>
    </w:p>
    <w:tbl>
      <w:tblPr>
        <w:tblStyle w:val="1"/>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041299">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041299">
        <w:trPr>
          <w:jc w:val="center"/>
        </w:trPr>
        <w:tc>
          <w:tcPr>
            <w:tcW w:w="8003" w:type="dxa"/>
            <w:gridSpan w:val="3"/>
            <w:tcBorders>
              <w:top w:val="single" w:sz="4" w:space="0" w:color="000000"/>
              <w:left w:val="single" w:sz="4" w:space="0" w:color="000000"/>
              <w:bottom w:val="single" w:sz="4" w:space="0" w:color="000000"/>
              <w:right w:val="single" w:sz="4" w:space="0" w:color="000000"/>
            </w:tcBorders>
            <w:vAlign w:val="center"/>
          </w:tcPr>
          <w:p w:rsidR="00041299" w:rsidRDefault="00041299">
            <w:pPr>
              <w:keepNext/>
              <w:spacing w:before="80" w:after="80"/>
              <w:ind w:left="142"/>
              <w:rPr>
                <w:rFonts w:ascii="Arial" w:eastAsia="Arial" w:hAnsi="Arial" w:cs="Arial"/>
                <w:sz w:val="24"/>
                <w:szCs w:val="24"/>
              </w:rPr>
            </w:pP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line="240" w:lineRule="auto"/>
              <w:rPr>
                <w:rFonts w:ascii="Arial" w:eastAsia="Arial" w:hAnsi="Arial" w:cs="Arial"/>
                <w:sz w:val="24"/>
                <w:szCs w:val="24"/>
              </w:rPr>
            </w:pPr>
            <w:r>
              <w:rPr>
                <w:rFonts w:ascii="Arial" w:eastAsia="Arial" w:hAnsi="Arial" w:cs="Arial"/>
                <w:sz w:val="24"/>
                <w:szCs w:val="24"/>
              </w:rPr>
              <w:t>Supplier must sign and return Call-Off Contract to Buyer within 14 Working Days of receipt.</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line="240" w:lineRule="auto"/>
              <w:ind w:left="142"/>
              <w:rPr>
                <w:rFonts w:ascii="Arial" w:eastAsia="Arial" w:hAnsi="Arial" w:cs="Arial"/>
                <w:sz w:val="24"/>
                <w:szCs w:val="24"/>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b/>
                <w:sz w:val="24"/>
                <w:szCs w:val="24"/>
              </w:rPr>
            </w:pPr>
            <w:r>
              <w:rPr>
                <w:rFonts w:ascii="Arial" w:eastAsia="Arial" w:hAnsi="Arial" w:cs="Arial"/>
                <w:sz w:val="24"/>
                <w:szCs w:val="24"/>
              </w:rPr>
              <w:t>Confirmation of receipt and time of receipt by the Authority</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highlight w:val="yellow"/>
              </w:rPr>
            </w:pPr>
            <w:r>
              <w:rPr>
                <w:rFonts w:ascii="Arial" w:eastAsia="Arial" w:hAnsi="Arial" w:cs="Arial"/>
                <w:sz w:val="24"/>
                <w:szCs w:val="24"/>
              </w:rPr>
              <w:t>MI returns: All MI returns to be returned to CCS by the 7</w:t>
            </w:r>
            <w:r>
              <w:rPr>
                <w:rFonts w:ascii="Arial" w:eastAsia="Arial" w:hAnsi="Arial" w:cs="Arial"/>
                <w:sz w:val="24"/>
                <w:szCs w:val="24"/>
                <w:vertAlign w:val="superscript"/>
              </w:rPr>
              <w:t>th</w:t>
            </w:r>
            <w:r>
              <w:rPr>
                <w:rFonts w:ascii="Arial" w:eastAsia="Arial" w:hAnsi="Arial" w:cs="Arial"/>
                <w:sz w:val="24"/>
                <w:szCs w:val="24"/>
              </w:rPr>
              <w:t xml:space="preserve"> Working Day of each month or the las</w:t>
            </w:r>
            <w:r>
              <w:rPr>
                <w:rFonts w:ascii="Arial" w:eastAsia="Arial" w:hAnsi="Arial" w:cs="Arial"/>
                <w:sz w:val="24"/>
                <w:szCs w:val="24"/>
              </w:rPr>
              <w:t>t working day prior to the 7th (e.g. weekends, Bank Holidays etc)</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highlight w:val="green"/>
              </w:rPr>
            </w:pPr>
            <w:r>
              <w:rPr>
                <w:rFonts w:ascii="Arial" w:eastAsia="Arial" w:hAnsi="Arial" w:cs="Arial"/>
                <w:sz w:val="24"/>
                <w:szCs w:val="24"/>
              </w:rPr>
              <w:t xml:space="preserve">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b/>
                <w:sz w:val="24"/>
                <w:szCs w:val="24"/>
              </w:rPr>
            </w:pPr>
            <w:r>
              <w:rPr>
                <w:rFonts w:ascii="Arial" w:eastAsia="Arial" w:hAnsi="Arial" w:cs="Arial"/>
                <w:sz w:val="24"/>
                <w:szCs w:val="24"/>
              </w:rPr>
              <w:t>Confirmation of receipt and time of receipt by the Authority (as evidenced within CCS MI system)</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highlight w:val="yellow"/>
              </w:rPr>
            </w:pPr>
            <w:r>
              <w:rPr>
                <w:rFonts w:ascii="Arial" w:eastAsia="Arial" w:hAnsi="Arial" w:cs="Arial"/>
                <w:sz w:val="24"/>
                <w:szCs w:val="24"/>
              </w:rPr>
              <w:t>All undisputed invoices to be paid within 30 calendar days of issue</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highlight w:val="yellow"/>
              </w:rPr>
            </w:pPr>
            <w:r>
              <w:rPr>
                <w:rFonts w:ascii="Arial" w:eastAsia="Arial" w:hAnsi="Arial" w:cs="Arial"/>
                <w:sz w:val="24"/>
                <w:szCs w:val="24"/>
              </w:rPr>
              <w:t>Confirmation of receipt and time of receipt by CCS (as evidenced within the CCS system)</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Supplier self-audit certificate to be issued to CCS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Actions identif</w:t>
            </w:r>
            <w:r>
              <w:rPr>
                <w:rFonts w:ascii="Arial" w:eastAsia="Arial" w:hAnsi="Arial" w:cs="Arial"/>
                <w:sz w:val="24"/>
                <w:szCs w:val="24"/>
              </w:rPr>
              <w:t>ied in an Audit Report to be delivered by the dates set out in the Audit Report</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Confirmation by CCS of completion of the actions by the dates identified in the Audit Report</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The Supplier to deliver against the Supplier Action Plan to derive further co</w:t>
            </w:r>
            <w:r>
              <w:rPr>
                <w:rFonts w:ascii="Arial" w:eastAsia="Arial" w:hAnsi="Arial" w:cs="Arial"/>
                <w:sz w:val="24"/>
                <w:szCs w:val="24"/>
              </w:rPr>
              <w:t>st savings over the Framework Period via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Action Plan</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lastRenderedPageBreak/>
              <w:t>The Supplier to deliver against the Supplier Action Plan to derive further cost savings over the Framework Period continuous improvement and innovation</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Confirmation by CCS of the cost savings achieved by the dates identified in the Supplier Action Pla</w:t>
            </w:r>
            <w:r>
              <w:rPr>
                <w:rFonts w:ascii="Arial" w:eastAsia="Arial" w:hAnsi="Arial" w:cs="Arial"/>
                <w:sz w:val="24"/>
                <w:szCs w:val="24"/>
              </w:rPr>
              <w:t>n</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Goods and/or Services to be provided under Call Off Contracts to the satisfaction of Buyers</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Confirmation by CCS of the Supplier’s performance against customer satisfaction surveys</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after="240" w:line="240" w:lineRule="auto"/>
              <w:rPr>
                <w:rFonts w:ascii="Arial" w:eastAsia="Arial" w:hAnsi="Arial" w:cs="Arial"/>
                <w:sz w:val="24"/>
                <w:szCs w:val="24"/>
              </w:rPr>
            </w:pPr>
            <w:r>
              <w:rPr>
                <w:rFonts w:ascii="Arial" w:eastAsia="Arial" w:hAnsi="Arial" w:cs="Arial"/>
                <w:b/>
                <w:sz w:val="24"/>
                <w:szCs w:val="24"/>
              </w:rPr>
              <w:t>BILLING</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Customer bills are issued on time according to frequency requested by the customer</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Aged monthly billing more than 3 months old</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Total invoices unbilled</w:t>
            </w:r>
          </w:p>
          <w:p w:rsidR="00041299" w:rsidRDefault="00041299">
            <w:pPr>
              <w:spacing w:before="80" w:after="80"/>
              <w:rPr>
                <w:rFonts w:ascii="Arial" w:eastAsia="Arial" w:hAnsi="Arial" w:cs="Arial"/>
                <w:sz w:val="24"/>
                <w:szCs w:val="24"/>
              </w:rPr>
            </w:pP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98-100%</w:t>
            </w:r>
          </w:p>
          <w:p w:rsidR="00041299" w:rsidRDefault="00041299">
            <w:pPr>
              <w:keepNext/>
              <w:spacing w:before="80" w:after="80" w:line="240" w:lineRule="auto"/>
              <w:ind w:left="142"/>
              <w:jc w:val="both"/>
              <w:rPr>
                <w:rFonts w:ascii="Arial" w:eastAsia="Arial" w:hAnsi="Arial" w:cs="Arial"/>
                <w:sz w:val="24"/>
                <w:szCs w:val="24"/>
              </w:rPr>
            </w:pPr>
          </w:p>
          <w:p w:rsidR="00041299" w:rsidRDefault="00A26CA2">
            <w:pPr>
              <w:keepNext/>
              <w:spacing w:before="80" w:after="80" w:line="240" w:lineRule="auto"/>
              <w:ind w:left="142"/>
              <w:jc w:val="both"/>
              <w:rPr>
                <w:rFonts w:ascii="Arial" w:eastAsia="Arial" w:hAnsi="Arial" w:cs="Arial"/>
                <w:sz w:val="24"/>
                <w:szCs w:val="24"/>
              </w:rPr>
            </w:pPr>
            <w:r>
              <w:rPr>
                <w:rFonts w:ascii="Arial" w:eastAsia="Arial" w:hAnsi="Arial" w:cs="Arial"/>
                <w:sz w:val="24"/>
                <w:szCs w:val="24"/>
              </w:rPr>
              <w:t>0% - 5%</w:t>
            </w:r>
          </w:p>
          <w:p w:rsidR="00041299" w:rsidRDefault="00041299">
            <w:pPr>
              <w:keepNext/>
              <w:spacing w:before="80" w:after="80"/>
              <w:ind w:left="142"/>
              <w:rPr>
                <w:rFonts w:ascii="Arial" w:eastAsia="Arial" w:hAnsi="Arial" w:cs="Arial"/>
                <w:sz w:val="24"/>
                <w:szCs w:val="24"/>
              </w:rPr>
            </w:pPr>
          </w:p>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98% - 100%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041299">
            <w:pPr>
              <w:spacing w:after="240" w:line="240" w:lineRule="auto"/>
              <w:rPr>
                <w:rFonts w:ascii="Arial" w:eastAsia="Arial" w:hAnsi="Arial" w:cs="Arial"/>
                <w:sz w:val="24"/>
                <w:szCs w:val="24"/>
              </w:rPr>
            </w:pP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041299">
            <w:pPr>
              <w:spacing w:before="80" w:after="80"/>
              <w:rPr>
                <w:rFonts w:ascii="Arial" w:eastAsia="Arial" w:hAnsi="Arial" w:cs="Arial"/>
                <w:sz w:val="24"/>
                <w:szCs w:val="24"/>
              </w:rPr>
            </w:pP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041299" w:rsidRDefault="00A26CA2">
            <w:pPr>
              <w:rPr>
                <w:rFonts w:ascii="Arial" w:eastAsia="Arial" w:hAnsi="Arial" w:cs="Arial"/>
                <w:b/>
                <w:sz w:val="24"/>
                <w:szCs w:val="24"/>
              </w:rPr>
            </w:pPr>
            <w:r>
              <w:rPr>
                <w:rFonts w:ascii="Arial" w:eastAsia="Arial" w:hAnsi="Arial" w:cs="Arial"/>
                <w:b/>
                <w:sz w:val="24"/>
                <w:szCs w:val="24"/>
              </w:rPr>
              <w:t>CUSTOMER QUERIES</w:t>
            </w:r>
          </w:p>
          <w:p w:rsidR="00041299" w:rsidRDefault="00A26CA2">
            <w:pPr>
              <w:rPr>
                <w:rFonts w:ascii="Arial" w:eastAsia="Arial" w:hAnsi="Arial" w:cs="Arial"/>
                <w:sz w:val="24"/>
                <w:szCs w:val="24"/>
              </w:rPr>
            </w:pPr>
            <w:r>
              <w:rPr>
                <w:rFonts w:ascii="Arial" w:eastAsia="Arial" w:hAnsi="Arial" w:cs="Arial"/>
                <w:sz w:val="24"/>
                <w:szCs w:val="24"/>
              </w:rPr>
              <w:t>Percentage (%) of accounts in query</w:t>
            </w:r>
          </w:p>
          <w:p w:rsidR="00041299" w:rsidRDefault="00A26CA2">
            <w:pPr>
              <w:rPr>
                <w:rFonts w:ascii="Arial" w:eastAsia="Arial" w:hAnsi="Arial" w:cs="Arial"/>
                <w:sz w:val="24"/>
                <w:szCs w:val="24"/>
              </w:rPr>
            </w:pPr>
            <w:r>
              <w:rPr>
                <w:rFonts w:ascii="Arial" w:eastAsia="Arial" w:hAnsi="Arial" w:cs="Arial"/>
                <w:sz w:val="24"/>
                <w:szCs w:val="24"/>
              </w:rPr>
              <w:t>Percentage (%) of accounts in query more than 3 months old</w:t>
            </w:r>
          </w:p>
          <w:p w:rsidR="00041299" w:rsidRDefault="00A26CA2">
            <w:pPr>
              <w:rPr>
                <w:rFonts w:ascii="Arial" w:eastAsia="Arial" w:hAnsi="Arial" w:cs="Arial"/>
                <w:sz w:val="24"/>
                <w:szCs w:val="24"/>
              </w:rPr>
            </w:pPr>
            <w:r>
              <w:rPr>
                <w:rFonts w:ascii="Arial" w:eastAsia="Arial" w:hAnsi="Arial" w:cs="Arial"/>
                <w:sz w:val="24"/>
                <w:szCs w:val="24"/>
              </w:rPr>
              <w:t>Percentage (%) of enquiries responded to within 2 working days</w:t>
            </w:r>
          </w:p>
        </w:tc>
        <w:tc>
          <w:tcPr>
            <w:tcW w:w="1476" w:type="dxa"/>
            <w:tcBorders>
              <w:top w:val="single" w:sz="4" w:space="0" w:color="000000"/>
              <w:left w:val="single" w:sz="4" w:space="0" w:color="000000"/>
              <w:bottom w:val="single" w:sz="4" w:space="0" w:color="000000"/>
              <w:right w:val="single" w:sz="4" w:space="0" w:color="000000"/>
            </w:tcBorders>
          </w:tcPr>
          <w:p w:rsidR="00041299" w:rsidRDefault="00041299">
            <w:pPr>
              <w:rPr>
                <w:rFonts w:ascii="Arial" w:eastAsia="Arial" w:hAnsi="Arial" w:cs="Arial"/>
                <w:sz w:val="24"/>
                <w:szCs w:val="24"/>
              </w:rPr>
            </w:pPr>
          </w:p>
          <w:p w:rsidR="00041299" w:rsidRDefault="00A26CA2">
            <w:pPr>
              <w:rPr>
                <w:rFonts w:ascii="Arial" w:eastAsia="Arial" w:hAnsi="Arial" w:cs="Arial"/>
                <w:sz w:val="24"/>
                <w:szCs w:val="24"/>
              </w:rPr>
            </w:pPr>
            <w:r>
              <w:rPr>
                <w:rFonts w:ascii="Arial" w:eastAsia="Arial" w:hAnsi="Arial" w:cs="Arial"/>
                <w:sz w:val="24"/>
                <w:szCs w:val="24"/>
              </w:rPr>
              <w:t>0% - 2%</w:t>
            </w:r>
          </w:p>
          <w:p w:rsidR="00041299" w:rsidRDefault="00A26CA2">
            <w:pPr>
              <w:rPr>
                <w:rFonts w:ascii="Arial" w:eastAsia="Arial" w:hAnsi="Arial" w:cs="Arial"/>
                <w:sz w:val="24"/>
                <w:szCs w:val="24"/>
              </w:rPr>
            </w:pPr>
            <w:r>
              <w:rPr>
                <w:rFonts w:ascii="Arial" w:eastAsia="Arial" w:hAnsi="Arial" w:cs="Arial"/>
                <w:sz w:val="24"/>
                <w:szCs w:val="24"/>
              </w:rPr>
              <w:t>0% - 5%</w:t>
            </w:r>
          </w:p>
          <w:p w:rsidR="00041299" w:rsidRDefault="00A26CA2">
            <w:pPr>
              <w:rPr>
                <w:rFonts w:ascii="Arial" w:eastAsia="Arial" w:hAnsi="Arial" w:cs="Arial"/>
                <w:sz w:val="24"/>
                <w:szCs w:val="24"/>
              </w:rPr>
            </w:pPr>
            <w:r>
              <w:rPr>
                <w:rFonts w:ascii="Arial" w:eastAsia="Arial" w:hAnsi="Arial" w:cs="Arial"/>
                <w:sz w:val="24"/>
                <w:szCs w:val="24"/>
              </w:rPr>
              <w:t>90% - 100%</w:t>
            </w:r>
          </w:p>
        </w:tc>
        <w:tc>
          <w:tcPr>
            <w:tcW w:w="2234" w:type="dxa"/>
            <w:tcBorders>
              <w:top w:val="single" w:sz="4" w:space="0" w:color="000000"/>
              <w:left w:val="single" w:sz="4" w:space="0" w:color="000000"/>
              <w:bottom w:val="single" w:sz="4" w:space="0" w:color="000000"/>
              <w:right w:val="single" w:sz="4" w:space="0" w:color="000000"/>
            </w:tcBorders>
          </w:tcPr>
          <w:p w:rsidR="00041299" w:rsidRDefault="00041299">
            <w:pPr>
              <w:spacing w:after="240" w:line="240" w:lineRule="auto"/>
              <w:rPr>
                <w:rFonts w:ascii="Arial" w:eastAsia="Arial" w:hAnsi="Arial" w:cs="Arial"/>
                <w:sz w:val="24"/>
                <w:szCs w:val="24"/>
              </w:rPr>
            </w:pP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A26CA2">
            <w:pPr>
              <w:spacing w:after="240" w:line="240" w:lineRule="auto"/>
              <w:rPr>
                <w:rFonts w:ascii="Arial" w:eastAsia="Arial" w:hAnsi="Arial" w:cs="Arial"/>
                <w:sz w:val="24"/>
                <w:szCs w:val="24"/>
              </w:rPr>
            </w:pPr>
            <w:r>
              <w:rPr>
                <w:rFonts w:ascii="Arial" w:eastAsia="Arial" w:hAnsi="Arial" w:cs="Arial"/>
                <w:sz w:val="24"/>
                <w:szCs w:val="24"/>
              </w:rPr>
              <w:t>Supplier monthly PI report</w:t>
            </w:r>
          </w:p>
          <w:p w:rsidR="00041299" w:rsidRDefault="00041299">
            <w:pPr>
              <w:rPr>
                <w:rFonts w:ascii="Arial" w:eastAsia="Arial" w:hAnsi="Arial" w:cs="Arial"/>
                <w:sz w:val="24"/>
                <w:szCs w:val="24"/>
              </w:rPr>
            </w:pPr>
          </w:p>
        </w:tc>
      </w:tr>
      <w:tr w:rsidR="00041299">
        <w:trPr>
          <w:trHeight w:val="787"/>
          <w:jc w:val="center"/>
        </w:trPr>
        <w:tc>
          <w:tcPr>
            <w:tcW w:w="4293" w:type="dxa"/>
            <w:tcBorders>
              <w:top w:val="single" w:sz="4" w:space="0" w:color="000000"/>
              <w:left w:val="single" w:sz="4" w:space="0" w:color="000000"/>
              <w:bottom w:val="single" w:sz="4" w:space="0" w:color="666666"/>
              <w:right w:val="single" w:sz="4" w:space="0" w:color="000000"/>
            </w:tcBorders>
          </w:tcPr>
          <w:p w:rsidR="00041299" w:rsidRDefault="00A26CA2">
            <w:pPr>
              <w:rPr>
                <w:rFonts w:ascii="Arial" w:eastAsia="Arial" w:hAnsi="Arial" w:cs="Arial"/>
                <w:b/>
                <w:sz w:val="24"/>
                <w:szCs w:val="24"/>
              </w:rPr>
            </w:pPr>
            <w:r>
              <w:rPr>
                <w:rFonts w:ascii="Arial" w:eastAsia="Arial" w:hAnsi="Arial" w:cs="Arial"/>
                <w:b/>
                <w:sz w:val="24"/>
                <w:szCs w:val="24"/>
              </w:rPr>
              <w:t xml:space="preserve">CUSTOMER COMPLAINTS </w:t>
            </w:r>
          </w:p>
          <w:p w:rsidR="00041299" w:rsidRDefault="00A26CA2">
            <w:pPr>
              <w:rPr>
                <w:rFonts w:ascii="Arial" w:eastAsia="Arial" w:hAnsi="Arial" w:cs="Arial"/>
                <w:sz w:val="24"/>
                <w:szCs w:val="24"/>
              </w:rPr>
            </w:pPr>
            <w:r>
              <w:rPr>
                <w:rFonts w:ascii="Arial" w:eastAsia="Arial" w:hAnsi="Arial" w:cs="Arial"/>
                <w:sz w:val="24"/>
                <w:szCs w:val="24"/>
              </w:rPr>
              <w:t>Description of complaint received and action taken to resolve</w:t>
            </w:r>
          </w:p>
          <w:p w:rsidR="00041299" w:rsidRDefault="00A26CA2">
            <w:pPr>
              <w:rPr>
                <w:rFonts w:ascii="Arial" w:eastAsia="Arial" w:hAnsi="Arial" w:cs="Arial"/>
                <w:sz w:val="24"/>
                <w:szCs w:val="24"/>
              </w:rPr>
            </w:pPr>
            <w:r>
              <w:rPr>
                <w:rFonts w:ascii="Arial" w:eastAsia="Arial" w:hAnsi="Arial" w:cs="Arial"/>
                <w:sz w:val="24"/>
                <w:szCs w:val="24"/>
              </w:rPr>
              <w:t>Percentage (%) of complaints logged and reported to CCS</w:t>
            </w:r>
          </w:p>
          <w:p w:rsidR="00041299" w:rsidRDefault="00A26CA2">
            <w:pPr>
              <w:rPr>
                <w:rFonts w:ascii="Arial" w:eastAsia="Arial" w:hAnsi="Arial" w:cs="Arial"/>
                <w:sz w:val="24"/>
                <w:szCs w:val="24"/>
              </w:rPr>
            </w:pPr>
            <w:r>
              <w:rPr>
                <w:rFonts w:ascii="Arial" w:eastAsia="Arial" w:hAnsi="Arial" w:cs="Arial"/>
                <w:sz w:val="24"/>
                <w:szCs w:val="24"/>
              </w:rPr>
              <w:lastRenderedPageBreak/>
              <w:t xml:space="preserve">Percentage (%) of open complaints </w:t>
            </w:r>
            <w:r>
              <w:rPr>
                <w:rFonts w:ascii="Arial" w:eastAsia="Arial" w:hAnsi="Arial" w:cs="Arial"/>
                <w:sz w:val="24"/>
                <w:szCs w:val="24"/>
              </w:rPr>
              <w:t>resolved</w:t>
            </w:r>
          </w:p>
        </w:tc>
        <w:tc>
          <w:tcPr>
            <w:tcW w:w="1476" w:type="dxa"/>
            <w:tcBorders>
              <w:top w:val="single" w:sz="4" w:space="0" w:color="000000"/>
              <w:left w:val="single" w:sz="4" w:space="0" w:color="000000"/>
              <w:bottom w:val="single" w:sz="4" w:space="0" w:color="666666"/>
              <w:right w:val="single" w:sz="4" w:space="0" w:color="000000"/>
            </w:tcBorders>
          </w:tcPr>
          <w:p w:rsidR="00041299" w:rsidRDefault="00A26CA2">
            <w:pPr>
              <w:spacing w:before="240" w:after="120" w:line="240" w:lineRule="auto"/>
              <w:rPr>
                <w:rFonts w:ascii="Arial" w:eastAsia="Arial" w:hAnsi="Arial" w:cs="Arial"/>
                <w:sz w:val="24"/>
                <w:szCs w:val="24"/>
              </w:rPr>
            </w:pPr>
            <w:r>
              <w:rPr>
                <w:rFonts w:ascii="Arial" w:eastAsia="Arial" w:hAnsi="Arial" w:cs="Arial"/>
                <w:sz w:val="24"/>
                <w:szCs w:val="24"/>
              </w:rPr>
              <w:lastRenderedPageBreak/>
              <w:t>100%</w:t>
            </w:r>
          </w:p>
          <w:p w:rsidR="00041299" w:rsidRDefault="00041299">
            <w:pPr>
              <w:spacing w:before="240" w:after="120" w:line="240" w:lineRule="auto"/>
              <w:rPr>
                <w:rFonts w:ascii="Arial" w:eastAsia="Arial" w:hAnsi="Arial" w:cs="Arial"/>
                <w:sz w:val="24"/>
                <w:szCs w:val="24"/>
              </w:rPr>
            </w:pPr>
          </w:p>
          <w:p w:rsidR="00041299" w:rsidRDefault="00A26CA2">
            <w:pPr>
              <w:spacing w:before="240" w:after="120" w:line="240" w:lineRule="auto"/>
              <w:rPr>
                <w:rFonts w:ascii="Arial" w:eastAsia="Arial" w:hAnsi="Arial" w:cs="Arial"/>
                <w:sz w:val="24"/>
                <w:szCs w:val="24"/>
              </w:rPr>
            </w:pPr>
            <w:r>
              <w:rPr>
                <w:rFonts w:ascii="Arial" w:eastAsia="Arial" w:hAnsi="Arial" w:cs="Arial"/>
                <w:sz w:val="24"/>
                <w:szCs w:val="24"/>
              </w:rPr>
              <w:t xml:space="preserve"> 100%</w:t>
            </w:r>
          </w:p>
          <w:p w:rsidR="00041299" w:rsidRDefault="00A26CA2">
            <w:pPr>
              <w:spacing w:before="240" w:after="120" w:line="240" w:lineRule="auto"/>
              <w:ind w:left="142"/>
              <w:rPr>
                <w:rFonts w:ascii="Arial" w:eastAsia="Arial" w:hAnsi="Arial" w:cs="Arial"/>
                <w:sz w:val="24"/>
                <w:szCs w:val="24"/>
              </w:rPr>
            </w:pPr>
            <w:r>
              <w:rPr>
                <w:rFonts w:ascii="Arial" w:eastAsia="Arial" w:hAnsi="Arial" w:cs="Arial"/>
                <w:sz w:val="24"/>
                <w:szCs w:val="24"/>
              </w:rPr>
              <w:lastRenderedPageBreak/>
              <w:t>85% - 100%</w:t>
            </w:r>
          </w:p>
          <w:p w:rsidR="00041299" w:rsidRDefault="00041299">
            <w:pPr>
              <w:rPr>
                <w:rFonts w:ascii="Arial" w:eastAsia="Arial" w:hAnsi="Arial" w:cs="Arial"/>
                <w:sz w:val="24"/>
                <w:szCs w:val="24"/>
              </w:rPr>
            </w:pPr>
          </w:p>
        </w:tc>
        <w:tc>
          <w:tcPr>
            <w:tcW w:w="2234" w:type="dxa"/>
            <w:tcBorders>
              <w:top w:val="single" w:sz="4" w:space="0" w:color="000000"/>
              <w:left w:val="single" w:sz="4" w:space="0" w:color="000000"/>
              <w:bottom w:val="single" w:sz="4" w:space="0" w:color="666666"/>
              <w:right w:val="single" w:sz="4" w:space="0" w:color="000000"/>
            </w:tcBorders>
          </w:tcPr>
          <w:p w:rsidR="00041299" w:rsidRDefault="00041299">
            <w:pPr>
              <w:rPr>
                <w:rFonts w:ascii="Arial" w:eastAsia="Arial" w:hAnsi="Arial" w:cs="Arial"/>
                <w:sz w:val="24"/>
                <w:szCs w:val="24"/>
              </w:rPr>
            </w:pPr>
          </w:p>
          <w:p w:rsidR="00041299" w:rsidRDefault="00A26CA2">
            <w:pPr>
              <w:rPr>
                <w:rFonts w:ascii="Arial" w:eastAsia="Arial" w:hAnsi="Arial" w:cs="Arial"/>
                <w:sz w:val="24"/>
                <w:szCs w:val="24"/>
              </w:rPr>
            </w:pPr>
            <w:r>
              <w:rPr>
                <w:rFonts w:ascii="Arial" w:eastAsia="Arial" w:hAnsi="Arial" w:cs="Arial"/>
                <w:sz w:val="24"/>
                <w:szCs w:val="24"/>
              </w:rPr>
              <w:t xml:space="preserve">Supplier monthly PI report </w:t>
            </w:r>
          </w:p>
          <w:p w:rsidR="00041299" w:rsidRDefault="00A26CA2">
            <w:pPr>
              <w:rPr>
                <w:rFonts w:ascii="Arial" w:eastAsia="Arial" w:hAnsi="Arial" w:cs="Arial"/>
                <w:sz w:val="24"/>
                <w:szCs w:val="24"/>
              </w:rPr>
            </w:pPr>
            <w:r>
              <w:rPr>
                <w:rFonts w:ascii="Arial" w:eastAsia="Arial" w:hAnsi="Arial" w:cs="Arial"/>
                <w:sz w:val="24"/>
                <w:szCs w:val="24"/>
              </w:rPr>
              <w:t>Supplier monthly PI report</w:t>
            </w:r>
          </w:p>
          <w:p w:rsidR="00041299" w:rsidRDefault="00A26CA2">
            <w:pPr>
              <w:rPr>
                <w:rFonts w:ascii="Arial" w:eastAsia="Arial" w:hAnsi="Arial" w:cs="Arial"/>
                <w:sz w:val="24"/>
                <w:szCs w:val="24"/>
              </w:rPr>
            </w:pPr>
            <w:r>
              <w:rPr>
                <w:rFonts w:ascii="Arial" w:eastAsia="Arial" w:hAnsi="Arial" w:cs="Arial"/>
                <w:sz w:val="24"/>
                <w:szCs w:val="24"/>
              </w:rPr>
              <w:lastRenderedPageBreak/>
              <w:t>Supplier monthly PI report</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lastRenderedPageBreak/>
              <w:t>LOT 1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Supplier to submit weekly lagged commodity prices to CCS by 10:00 on the first working day of each week</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CCS fuels team report</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LOT 2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Supplier to submit monthly lagged commodity prices to CCS and Buyers by 10:00 on the first working day of each month</w:t>
            </w:r>
          </w:p>
        </w:tc>
        <w:tc>
          <w:tcPr>
            <w:tcW w:w="1476" w:type="dxa"/>
            <w:tcBorders>
              <w:top w:val="single" w:sz="4" w:space="0" w:color="000000"/>
              <w:left w:val="single" w:sz="4" w:space="0" w:color="000000"/>
              <w:bottom w:val="single" w:sz="4" w:space="0" w:color="000000"/>
              <w:right w:val="single" w:sz="4" w:space="0" w:color="000000"/>
            </w:tcBorders>
            <w:vAlign w:val="center"/>
          </w:tcPr>
          <w:p w:rsidR="00041299" w:rsidRDefault="00A26CA2">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2234" w:type="dxa"/>
            <w:tcBorders>
              <w:top w:val="single" w:sz="4" w:space="0" w:color="000000"/>
              <w:left w:val="single" w:sz="4" w:space="0" w:color="000000"/>
              <w:bottom w:val="single" w:sz="4" w:space="0" w:color="000000"/>
              <w:right w:val="single" w:sz="4" w:space="0" w:color="000000"/>
            </w:tcBorders>
            <w:vAlign w:val="center"/>
          </w:tcPr>
          <w:p w:rsidR="00041299" w:rsidRDefault="00A26CA2">
            <w:pPr>
              <w:spacing w:before="80" w:after="80"/>
              <w:rPr>
                <w:rFonts w:ascii="Arial" w:eastAsia="Arial" w:hAnsi="Arial" w:cs="Arial"/>
                <w:sz w:val="24"/>
                <w:szCs w:val="24"/>
              </w:rPr>
            </w:pPr>
            <w:r>
              <w:rPr>
                <w:rFonts w:ascii="Arial" w:eastAsia="Arial" w:hAnsi="Arial" w:cs="Arial"/>
                <w:sz w:val="24"/>
                <w:szCs w:val="24"/>
              </w:rPr>
              <w:t>CCS fuels team report</w:t>
            </w:r>
          </w:p>
        </w:tc>
      </w:tr>
      <w:tr w:rsidR="00041299">
        <w:trPr>
          <w:trHeight w:val="787"/>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LOTS 1 - 4 ONLY</w:t>
            </w:r>
          </w:p>
        </w:tc>
        <w:tc>
          <w:tcPr>
            <w:tcW w:w="147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2234"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041299" w:rsidRDefault="00A26CA2">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041299">
        <w:trPr>
          <w:trHeight w:val="787"/>
          <w:jc w:val="center"/>
        </w:trPr>
        <w:tc>
          <w:tcPr>
            <w:tcW w:w="4293" w:type="dxa"/>
            <w:tcBorders>
              <w:top w:val="single" w:sz="4" w:space="0" w:color="666666"/>
              <w:left w:val="single" w:sz="4" w:space="0" w:color="000000"/>
              <w:bottom w:val="single" w:sz="4" w:space="0" w:color="000000"/>
              <w:right w:val="single" w:sz="4" w:space="0" w:color="000000"/>
            </w:tcBorders>
            <w:shd w:val="clear" w:color="auto" w:fill="auto"/>
          </w:tcPr>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DELIVERY MANAGEMENT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Percentage of deliveries meeting agreed delivery date (within customer timelines as specified in Call-off agreement)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no site access</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incorrect customer order</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 xml:space="preserve">Number </w:t>
            </w:r>
            <w:r>
              <w:rPr>
                <w:rFonts w:ascii="Arial" w:eastAsia="Arial" w:hAnsi="Arial" w:cs="Arial"/>
                <w:sz w:val="24"/>
                <w:szCs w:val="24"/>
              </w:rPr>
              <w:t>of aborted deliveries due to security clearance issues</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aborted deliveries due to fuel quality issues</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Number of delivery risks reported in month (</w:t>
            </w:r>
            <w:proofErr w:type="spellStart"/>
            <w:r>
              <w:rPr>
                <w:rFonts w:ascii="Arial" w:eastAsia="Arial" w:hAnsi="Arial" w:cs="Arial"/>
                <w:sz w:val="24"/>
                <w:szCs w:val="24"/>
              </w:rPr>
              <w:t>ie</w:t>
            </w:r>
            <w:proofErr w:type="spellEnd"/>
            <w:r>
              <w:rPr>
                <w:rFonts w:ascii="Arial" w:eastAsia="Arial" w:hAnsi="Arial" w:cs="Arial"/>
                <w:sz w:val="24"/>
                <w:szCs w:val="24"/>
              </w:rPr>
              <w:t>. Spillage, faulty gauges, unsafe environment)</w:t>
            </w:r>
          </w:p>
        </w:tc>
        <w:tc>
          <w:tcPr>
            <w:tcW w:w="1476" w:type="dxa"/>
            <w:tcBorders>
              <w:top w:val="single" w:sz="4" w:space="0" w:color="666666"/>
              <w:left w:val="single" w:sz="4" w:space="0" w:color="000000"/>
              <w:bottom w:val="single" w:sz="4" w:space="0" w:color="000000"/>
              <w:right w:val="single" w:sz="4" w:space="0" w:color="000000"/>
            </w:tcBorders>
          </w:tcPr>
          <w:p w:rsidR="00041299" w:rsidRDefault="00041299">
            <w:pPr>
              <w:pBdr>
                <w:top w:val="nil"/>
                <w:left w:val="nil"/>
                <w:bottom w:val="nil"/>
                <w:right w:val="nil"/>
                <w:between w:val="nil"/>
              </w:pBdr>
              <w:rPr>
                <w:rFonts w:ascii="Arial" w:eastAsia="Arial" w:hAnsi="Arial" w:cs="Arial"/>
                <w:sz w:val="24"/>
                <w:szCs w:val="24"/>
              </w:rPr>
            </w:pP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95-100%</w:t>
            </w:r>
          </w:p>
          <w:p w:rsidR="00041299" w:rsidRDefault="00041299">
            <w:pPr>
              <w:pBdr>
                <w:top w:val="nil"/>
                <w:left w:val="nil"/>
                <w:bottom w:val="nil"/>
                <w:right w:val="nil"/>
                <w:between w:val="nil"/>
              </w:pBdr>
              <w:rPr>
                <w:rFonts w:ascii="Arial" w:eastAsia="Arial" w:hAnsi="Arial" w:cs="Arial"/>
                <w:sz w:val="24"/>
                <w:szCs w:val="24"/>
              </w:rPr>
            </w:pPr>
          </w:p>
          <w:p w:rsidR="00041299" w:rsidRDefault="00041299">
            <w:pPr>
              <w:pBdr>
                <w:top w:val="nil"/>
                <w:left w:val="nil"/>
                <w:bottom w:val="nil"/>
                <w:right w:val="nil"/>
                <w:between w:val="nil"/>
              </w:pBdr>
              <w:rPr>
                <w:rFonts w:ascii="Arial" w:eastAsia="Arial" w:hAnsi="Arial" w:cs="Arial"/>
                <w:sz w:val="24"/>
                <w:szCs w:val="24"/>
              </w:rPr>
            </w:pPr>
          </w:p>
          <w:p w:rsidR="00041299" w:rsidRDefault="00A26CA2">
            <w:pPr>
              <w:rPr>
                <w:rFonts w:ascii="Arial" w:eastAsia="Arial" w:hAnsi="Arial" w:cs="Arial"/>
                <w:sz w:val="24"/>
                <w:szCs w:val="24"/>
              </w:rPr>
            </w:pPr>
            <w:r>
              <w:rPr>
                <w:rFonts w:ascii="Arial" w:eastAsia="Arial" w:hAnsi="Arial" w:cs="Arial"/>
                <w:sz w:val="24"/>
                <w:szCs w:val="24"/>
              </w:rPr>
              <w:t>95-100%</w:t>
            </w:r>
          </w:p>
          <w:p w:rsidR="00041299" w:rsidRDefault="00A26CA2">
            <w:pPr>
              <w:rPr>
                <w:rFonts w:ascii="Arial" w:eastAsia="Arial" w:hAnsi="Arial" w:cs="Arial"/>
                <w:sz w:val="24"/>
                <w:szCs w:val="24"/>
              </w:rPr>
            </w:pPr>
            <w:r>
              <w:rPr>
                <w:rFonts w:ascii="Arial" w:eastAsia="Arial" w:hAnsi="Arial" w:cs="Arial"/>
                <w:sz w:val="24"/>
                <w:szCs w:val="24"/>
              </w:rPr>
              <w:t>95-100%</w:t>
            </w:r>
          </w:p>
          <w:p w:rsidR="00041299" w:rsidRDefault="00041299">
            <w:pPr>
              <w:rPr>
                <w:rFonts w:ascii="Arial" w:eastAsia="Arial" w:hAnsi="Arial" w:cs="Arial"/>
                <w:sz w:val="24"/>
                <w:szCs w:val="24"/>
              </w:rPr>
            </w:pPr>
          </w:p>
          <w:p w:rsidR="00041299" w:rsidRDefault="00A26CA2">
            <w:pPr>
              <w:rPr>
                <w:rFonts w:ascii="Arial" w:eastAsia="Arial" w:hAnsi="Arial" w:cs="Arial"/>
                <w:sz w:val="24"/>
                <w:szCs w:val="24"/>
              </w:rPr>
            </w:pPr>
            <w:r>
              <w:rPr>
                <w:rFonts w:ascii="Arial" w:eastAsia="Arial" w:hAnsi="Arial" w:cs="Arial"/>
                <w:sz w:val="24"/>
                <w:szCs w:val="24"/>
              </w:rPr>
              <w:t>95-100%</w:t>
            </w:r>
          </w:p>
          <w:p w:rsidR="00041299" w:rsidRDefault="00041299">
            <w:pPr>
              <w:rPr>
                <w:rFonts w:ascii="Arial" w:eastAsia="Arial" w:hAnsi="Arial" w:cs="Arial"/>
                <w:sz w:val="24"/>
                <w:szCs w:val="24"/>
              </w:rPr>
            </w:pPr>
          </w:p>
          <w:p w:rsidR="00041299" w:rsidRDefault="00A26CA2">
            <w:pPr>
              <w:rPr>
                <w:rFonts w:ascii="Arial" w:eastAsia="Arial" w:hAnsi="Arial" w:cs="Arial"/>
                <w:sz w:val="24"/>
                <w:szCs w:val="24"/>
              </w:rPr>
            </w:pPr>
            <w:r>
              <w:rPr>
                <w:rFonts w:ascii="Arial" w:eastAsia="Arial" w:hAnsi="Arial" w:cs="Arial"/>
                <w:sz w:val="24"/>
                <w:szCs w:val="24"/>
              </w:rPr>
              <w:t>95-100%</w:t>
            </w:r>
          </w:p>
          <w:p w:rsidR="00041299" w:rsidRDefault="00A26CA2">
            <w:pPr>
              <w:rPr>
                <w:rFonts w:ascii="Arial" w:eastAsia="Arial" w:hAnsi="Arial" w:cs="Arial"/>
                <w:sz w:val="24"/>
                <w:szCs w:val="24"/>
              </w:rPr>
            </w:pPr>
            <w:r>
              <w:rPr>
                <w:rFonts w:ascii="Arial" w:eastAsia="Arial" w:hAnsi="Arial" w:cs="Arial"/>
                <w:sz w:val="24"/>
                <w:szCs w:val="24"/>
              </w:rPr>
              <w:t>95-100%</w:t>
            </w:r>
          </w:p>
          <w:p w:rsidR="00041299" w:rsidRDefault="00041299">
            <w:pPr>
              <w:rPr>
                <w:rFonts w:ascii="Arial" w:eastAsia="Arial" w:hAnsi="Arial" w:cs="Arial"/>
                <w:sz w:val="24"/>
                <w:szCs w:val="24"/>
              </w:rPr>
            </w:pPr>
          </w:p>
          <w:p w:rsidR="00041299" w:rsidRDefault="00041299">
            <w:pPr>
              <w:pBdr>
                <w:top w:val="nil"/>
                <w:left w:val="nil"/>
                <w:bottom w:val="nil"/>
                <w:right w:val="nil"/>
                <w:between w:val="nil"/>
              </w:pBdr>
              <w:rPr>
                <w:rFonts w:ascii="Arial" w:eastAsia="Arial" w:hAnsi="Arial" w:cs="Arial"/>
                <w:sz w:val="24"/>
                <w:szCs w:val="24"/>
              </w:rPr>
            </w:pPr>
          </w:p>
        </w:tc>
        <w:tc>
          <w:tcPr>
            <w:tcW w:w="2234" w:type="dxa"/>
            <w:tcBorders>
              <w:top w:val="single" w:sz="4" w:space="0" w:color="666666"/>
              <w:left w:val="single" w:sz="4" w:space="0" w:color="000000"/>
              <w:bottom w:val="single" w:sz="4" w:space="0" w:color="000000"/>
              <w:right w:val="single" w:sz="4" w:space="0" w:color="000000"/>
            </w:tcBorders>
          </w:tcPr>
          <w:p w:rsidR="00041299" w:rsidRDefault="00041299">
            <w:pPr>
              <w:pBdr>
                <w:top w:val="nil"/>
                <w:left w:val="nil"/>
                <w:bottom w:val="nil"/>
                <w:right w:val="nil"/>
                <w:between w:val="nil"/>
              </w:pBdr>
              <w:rPr>
                <w:rFonts w:ascii="Arial" w:eastAsia="Arial" w:hAnsi="Arial" w:cs="Arial"/>
                <w:sz w:val="24"/>
                <w:szCs w:val="24"/>
              </w:rPr>
            </w:pP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rsidR="00041299" w:rsidRDefault="00041299">
            <w:pPr>
              <w:pBdr>
                <w:top w:val="nil"/>
                <w:left w:val="nil"/>
                <w:bottom w:val="nil"/>
                <w:right w:val="nil"/>
                <w:between w:val="nil"/>
              </w:pBdr>
              <w:rPr>
                <w:rFonts w:ascii="Arial" w:eastAsia="Arial" w:hAnsi="Arial" w:cs="Arial"/>
                <w:sz w:val="24"/>
                <w:szCs w:val="24"/>
              </w:rPr>
            </w:pP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p w:rsidR="00041299" w:rsidRDefault="00A26CA2">
            <w:pPr>
              <w:pBdr>
                <w:top w:val="nil"/>
                <w:left w:val="nil"/>
                <w:bottom w:val="nil"/>
                <w:right w:val="nil"/>
                <w:between w:val="nil"/>
              </w:pBdr>
              <w:rPr>
                <w:rFonts w:ascii="Arial" w:eastAsia="Arial" w:hAnsi="Arial" w:cs="Arial"/>
                <w:sz w:val="24"/>
                <w:szCs w:val="24"/>
              </w:rPr>
            </w:pPr>
            <w:r>
              <w:rPr>
                <w:rFonts w:ascii="Arial" w:eastAsia="Arial" w:hAnsi="Arial" w:cs="Arial"/>
                <w:sz w:val="24"/>
                <w:szCs w:val="24"/>
              </w:rPr>
              <w:t>Supplier monthly PI report</w:t>
            </w:r>
          </w:p>
        </w:tc>
      </w:tr>
    </w:tbl>
    <w:p w:rsidR="00041299" w:rsidRDefault="00041299">
      <w:pPr>
        <w:keepNext/>
        <w:tabs>
          <w:tab w:val="left" w:pos="1134"/>
        </w:tabs>
        <w:spacing w:before="120" w:after="120" w:line="240" w:lineRule="auto"/>
        <w:ind w:left="360"/>
        <w:rPr>
          <w:rFonts w:ascii="Arial" w:eastAsia="Arial" w:hAnsi="Arial" w:cs="Arial"/>
          <w:b/>
          <w:sz w:val="24"/>
          <w:szCs w:val="24"/>
        </w:rPr>
      </w:pPr>
    </w:p>
    <w:p w:rsidR="00041299" w:rsidRDefault="00041299">
      <w:pPr>
        <w:tabs>
          <w:tab w:val="left" w:pos="1134"/>
        </w:tabs>
        <w:spacing w:before="120" w:after="120" w:line="240" w:lineRule="auto"/>
        <w:rPr>
          <w:rFonts w:ascii="Arial" w:eastAsia="Arial" w:hAnsi="Arial" w:cs="Arial"/>
          <w:b/>
          <w:sz w:val="24"/>
          <w:szCs w:val="24"/>
        </w:rPr>
      </w:pP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041299" w:rsidRDefault="00A26CA2">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041299" w:rsidRDefault="00A26CA2">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041299" w:rsidRDefault="00A26CA2">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Supplier shall cooperate in good faith with CCS to develop efficiency tracking performance measures for this Contract. This shall include the following (but this list i</w:t>
      </w:r>
      <w:r>
        <w:rPr>
          <w:rFonts w:ascii="Arial" w:eastAsia="Arial" w:hAnsi="Arial" w:cs="Arial"/>
          <w:color w:val="000000"/>
          <w:sz w:val="24"/>
          <w:szCs w:val="24"/>
        </w:rPr>
        <w:t xml:space="preserve">s not exhaustive and may be developed during the Framework Contract Period): </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w:t>
      </w:r>
      <w:r>
        <w:rPr>
          <w:rFonts w:ascii="Arial" w:eastAsia="Arial" w:hAnsi="Arial" w:cs="Arial"/>
          <w:color w:val="000000"/>
          <w:sz w:val="24"/>
          <w:szCs w:val="24"/>
        </w:rPr>
        <w:t>ms and shared service centres).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ongoing progress </w:t>
      </w:r>
      <w:r>
        <w:rPr>
          <w:rFonts w:ascii="Arial" w:eastAsia="Arial" w:hAnsi="Arial" w:cs="Arial"/>
          <w:color w:val="000000"/>
          <w:sz w:val="24"/>
          <w:szCs w:val="24"/>
        </w:rPr>
        <w:t>and development of the efficiency tracking performance measures shall be reported through framework management activities as outlined in this Schedule.</w:t>
      </w:r>
    </w:p>
    <w:p w:rsidR="00041299" w:rsidRDefault="00A26CA2">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w:t>
      </w:r>
      <w:r>
        <w:rPr>
          <w:rFonts w:ascii="Arial" w:eastAsia="Arial" w:hAnsi="Arial" w:cs="Arial"/>
          <w:color w:val="000000"/>
          <w:sz w:val="24"/>
          <w:szCs w:val="24"/>
        </w:rPr>
        <w:t>lier are unable to agree the performance score for any PI during a Supplier Review Meeting, the disputed score shall be recorded and the matter shall be referred to CCS Authorised Representative and the Supplier Authorised Representative in order to determ</w:t>
      </w:r>
      <w:r>
        <w:rPr>
          <w:rFonts w:ascii="Arial" w:eastAsia="Arial" w:hAnsi="Arial" w:cs="Arial"/>
          <w:color w:val="000000"/>
          <w:sz w:val="24"/>
          <w:szCs w:val="24"/>
        </w:rPr>
        <w:t>ine the best course of action to resolve the matter (which may involve organising an ad-hoc meeting to discuss the performance issue specifically).</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w:t>
      </w:r>
      <w:r>
        <w:rPr>
          <w:rFonts w:ascii="Arial" w:eastAsia="Arial" w:hAnsi="Arial" w:cs="Arial"/>
          <w:color w:val="000000"/>
          <w:sz w:val="24"/>
          <w:szCs w:val="24"/>
        </w:rPr>
        <w:t>tion within a reasonable period of time, the matter shall be referred to the Dispute Resolution Procedure.</w:t>
      </w:r>
    </w:p>
    <w:p w:rsidR="00041299" w:rsidRDefault="00A26CA2">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041299" w:rsidRDefault="00A26CA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How the Supplier must contribute to CCS publications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041299" w:rsidRDefault="00A26CA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w:t>
        </w:r>
        <w:r>
          <w:rPr>
            <w:rFonts w:ascii="Arial" w:eastAsia="Arial" w:hAnsi="Arial" w:cs="Arial"/>
            <w:color w:val="0000FF"/>
            <w:sz w:val="24"/>
            <w:szCs w:val="24"/>
            <w:u w:val="single"/>
          </w:rPr>
          <w:t>lier-logo-and-brand-guidelines</w:t>
        </w:r>
      </w:hyperlink>
      <w:r>
        <w:rPr>
          <w:rFonts w:ascii="Arial" w:eastAsia="Arial" w:hAnsi="Arial" w:cs="Arial"/>
          <w:color w:val="000000"/>
          <w:sz w:val="24"/>
          <w:szCs w:val="24"/>
        </w:rPr>
        <w:t>.</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041299" w:rsidRDefault="00A26CA2">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w:t>
      </w:r>
      <w:r>
        <w:rPr>
          <w:rFonts w:ascii="Arial" w:eastAsia="Arial" w:hAnsi="Arial" w:cs="Arial"/>
          <w:color w:val="000000"/>
          <w:sz w:val="24"/>
          <w:szCs w:val="24"/>
        </w:rPr>
        <w:t>lishing any content in relation to a Contract with that Party using any media, including on any electronic medium, and the Supplier will ensure that such content is regularly maintained and updated.  In the event that the Supplier fails to maintain or upda</w:t>
      </w:r>
      <w:r>
        <w:rPr>
          <w:rFonts w:ascii="Arial" w:eastAsia="Arial" w:hAnsi="Arial" w:cs="Arial"/>
          <w:color w:val="000000"/>
          <w:sz w:val="24"/>
          <w:szCs w:val="24"/>
        </w:rPr>
        <w:t>te the content, CCS or the relevant Buyer may give the Supplier notice to rectify the failure and if the failure is not rectified to its reasonable satisfaction within one (1) Month of receipt of such notice, shall have the right to remove such content its</w:t>
      </w:r>
      <w:r>
        <w:rPr>
          <w:rFonts w:ascii="Arial" w:eastAsia="Arial" w:hAnsi="Arial" w:cs="Arial"/>
          <w:color w:val="000000"/>
          <w:sz w:val="24"/>
          <w:szCs w:val="24"/>
        </w:rPr>
        <w:t>elf or require that the Supplier immediately arranges the removal of such content.</w:t>
      </w:r>
    </w:p>
    <w:p w:rsidR="00041299" w:rsidRDefault="00A26CA2">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041299" w:rsidRDefault="00A26CA2">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p w:rsidR="00041299" w:rsidRDefault="00A26CA2">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3 (Continuous Improvement);]</w:t>
      </w:r>
    </w:p>
    <w:p w:rsidR="00041299" w:rsidRDefault="00A26CA2">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 and]</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16 (Benchmarking).]</w:t>
      </w:r>
    </w:p>
    <w:p w:rsidR="00041299" w:rsidRDefault="00A26CA2">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041299" w:rsidRDefault="00A26CA2">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041299" w:rsidRDefault="00A26CA2">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allowing CCS to act as agent for the Buyers under the Supported Schedules for such matters as CCS may notify to the Supplier from time to time; and</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041299" w:rsidRDefault="00A26CA2">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041299" w:rsidRDefault="00A26CA2">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041299" w:rsidRDefault="00A26CA2">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r>
        <w:rPr>
          <w:rFonts w:ascii="Arial" w:eastAsia="Arial" w:hAnsi="Arial" w:cs="Arial"/>
          <w:b/>
          <w:color w:val="000000"/>
          <w:sz w:val="24"/>
          <w:szCs w:val="24"/>
          <w:highlight w:val="yellow"/>
        </w:rPr>
        <w:t>[Guidance Note:</w:t>
      </w:r>
      <w:r>
        <w:rPr>
          <w:rFonts w:ascii="Arial" w:eastAsia="Arial" w:hAnsi="Arial" w:cs="Arial"/>
          <w:b/>
          <w:color w:val="000000"/>
          <w:sz w:val="24"/>
          <w:szCs w:val="24"/>
        </w:rPr>
        <w:t xml:space="preserve"> </w:t>
      </w:r>
      <w:r>
        <w:rPr>
          <w:rFonts w:ascii="Arial" w:eastAsia="Arial" w:hAnsi="Arial" w:cs="Arial"/>
          <w:color w:val="000000"/>
          <w:sz w:val="24"/>
          <w:szCs w:val="24"/>
        </w:rPr>
        <w:t>provisions in Paragraph 8 are to be includ</w:t>
      </w:r>
      <w:r>
        <w:rPr>
          <w:rFonts w:ascii="Arial" w:eastAsia="Arial" w:hAnsi="Arial" w:cs="Arial"/>
          <w:color w:val="000000"/>
          <w:sz w:val="24"/>
          <w:szCs w:val="24"/>
        </w:rPr>
        <w:t>ed where CCS would be better placed to provide support on behalf of the Buyer community as a whole in these areas.]</w:t>
      </w:r>
    </w:p>
    <w:p w:rsidR="00041299" w:rsidRDefault="00A26CA2">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6F7CE6" w:rsidRDefault="006F7CE6">
      <w:pPr>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6F7CE6" w:rsidRDefault="006F7CE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041299" w:rsidRDefault="00A26CA2">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6F7CE6" w:rsidRDefault="006F7CE6">
      <w:pPr>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041299" w:rsidRDefault="00A26CA2">
      <w:pPr>
        <w:rPr>
          <w:rFonts w:ascii="Arial" w:eastAsia="Arial" w:hAnsi="Arial" w:cs="Arial"/>
          <w:sz w:val="24"/>
          <w:szCs w:val="24"/>
        </w:rPr>
      </w:pPr>
      <w:r>
        <w:br w:type="page"/>
      </w:r>
    </w:p>
    <w:p w:rsidR="00000000" w:rsidRDefault="00A26CA2"/>
    <w:p w:rsidR="006F7CE6" w:rsidRDefault="006F7CE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w:t>
      </w:r>
      <w:r>
        <w:rPr>
          <w:rFonts w:ascii="Arial" w:eastAsia="Arial" w:hAnsi="Arial" w:cs="Arial"/>
          <w:color w:val="000000"/>
          <w:sz w:val="24"/>
          <w:szCs w:val="24"/>
        </w:rPr>
        <w:t>ecurity) - the Supplier shall:</w:t>
      </w:r>
    </w:p>
    <w:p w:rsidR="006F7CE6" w:rsidRDefault="006F7CE6">
      <w:pPr>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6F7CE6" w:rsidRDefault="006F7CE6">
      <w:pPr>
        <w:numPr>
          <w:ilvl w:val="3"/>
          <w:numId w:val="2"/>
        </w:numPr>
        <w:pBdr>
          <w:top w:val="nil"/>
          <w:left w:val="nil"/>
          <w:bottom w:val="nil"/>
          <w:right w:val="nil"/>
          <w:between w:val="nil"/>
        </w:pBdr>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041299" w:rsidRDefault="00A26CA2">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w:t>
      </w:r>
      <w:r>
        <w:rPr>
          <w:rFonts w:ascii="Arial" w:eastAsia="Arial" w:hAnsi="Arial" w:cs="Arial"/>
          <w:color w:val="000000"/>
          <w:sz w:val="24"/>
          <w:szCs w:val="24"/>
        </w:rPr>
        <w:t>lier:</w:t>
      </w:r>
    </w:p>
    <w:p w:rsidR="00041299" w:rsidRDefault="00A26CA2">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rsidR="006F7CE6" w:rsidRDefault="006F7CE6">
      <w:pPr>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 agent by Buyers in respect of benchmarking, co-operate with CCS in order to operate the benchmarking as efficiently as possible;</w:t>
      </w:r>
    </w:p>
    <w:p w:rsidR="006F7CE6" w:rsidRDefault="006F7CE6">
      <w:pPr>
        <w:keepNext/>
        <w:pBdr>
          <w:top w:val="nil"/>
          <w:left w:val="nil"/>
          <w:bottom w:val="nil"/>
          <w:right w:val="nil"/>
          <w:between w:val="nil"/>
        </w:pBdr>
        <w:spacing w:before="120" w:after="120" w:line="240" w:lineRule="auto"/>
        <w:ind w:left="1656" w:hanging="720"/>
        <w:rPr>
          <w:rFonts w:ascii="Arial" w:eastAsia="Arial" w:hAnsi="Arial" w:cs="Arial"/>
          <w:color w:val="000000"/>
          <w:sz w:val="24"/>
          <w:szCs w:val="24"/>
        </w:rPr>
        <w:sectPr w:rsidR="006F7CE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6F7CE6" w:rsidRDefault="006F7CE6">
      <w:r>
        <w:lastRenderedPageBreak/>
        <w:br w:type="page"/>
      </w:r>
    </w:p>
    <w:sectPr w:rsidR="00A26CA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CA2" w:rsidRDefault="00A26CA2">
      <w:pPr>
        <w:spacing w:after="0" w:line="240" w:lineRule="auto"/>
      </w:pPr>
      <w:r>
        <w:separator/>
      </w:r>
    </w:p>
  </w:endnote>
  <w:endnote w:type="continuationSeparator" w:id="0">
    <w:p w:rsidR="00A26CA2" w:rsidRDefault="00A26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299" w:rsidRDefault="00A26CA2">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F7CE6">
      <w:rPr>
        <w:rFonts w:ascii="Arial" w:eastAsia="Arial" w:hAnsi="Arial" w:cs="Arial"/>
        <w:color w:val="000000"/>
        <w:sz w:val="20"/>
        <w:szCs w:val="20"/>
      </w:rPr>
      <w:fldChar w:fldCharType="separate"/>
    </w:r>
    <w:r w:rsidR="006F7CE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41299" w:rsidRDefault="00A26CA2">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299" w:rsidRDefault="00A26C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r>
      <w:rPr>
        <w:rFonts w:ascii="Arial" w:eastAsia="Arial" w:hAnsi="Arial" w:cs="Arial"/>
        <w:sz w:val="20"/>
        <w:szCs w:val="20"/>
      </w:rPr>
      <w:t xml:space="preserve">                             </w:t>
    </w:r>
  </w:p>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041299" w:rsidRDefault="00A26CA2">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CA2" w:rsidRDefault="00A26CA2">
      <w:pPr>
        <w:spacing w:after="0" w:line="240" w:lineRule="auto"/>
      </w:pPr>
      <w:r>
        <w:separator/>
      </w:r>
    </w:p>
  </w:footnote>
  <w:footnote w:type="continuationSeparator" w:id="0">
    <w:p w:rsidR="00A26CA2" w:rsidRDefault="00A26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041299" w:rsidRDefault="00A26CA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603AD"/>
    <w:multiLevelType w:val="multilevel"/>
    <w:tmpl w:val="676886D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2CB3963"/>
    <w:multiLevelType w:val="multilevel"/>
    <w:tmpl w:val="73C8462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299"/>
    <w:rsid w:val="00041299"/>
    <w:rsid w:val="006F7CE6"/>
    <w:rsid w:val="00A26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EEFA07-609E-48B1-B8CB-1C1232C50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us//pIH2IqaFMafroAkbuV0vJQ==">CgMxLjAyCGguZ2pkZ3hzMgloLjMwajB6bGwyCWguMWZvYjl0ZTIJaC4zem55c2g3MgloLjJldDkycDAyCGgudHlqY3d0MgloLjNkeTZ2a20yCWguMXQzaDVzZjIJaC40ZDM0b2c4OABqSwo1c3VnZ2VzdElkSW1wb3J0N2FmYjFjYzEtMjM1MS00NmE1LWFlYjItNzM5Mzk2OTVhOTk5XzESElZpY3RvcmlhIElyZW1vbmdlcmpLCjVzdWdnZXN0SWRJbXBvcnQ3YWZiMWNjMS0yMzUxLTQ2YTUtYWViMi03MzkzOTY5NWE5OTlfMhISVmljdG9yaWEgSXJlbW9uZ2VyciExNm9LcmJOLS1iV0xDX3ZsMUx3NHRhc2hsVjZrUUtnX3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Adam Cureton</cp:lastModifiedBy>
  <cp:revision>1</cp:revision>
  <dcterms:created xsi:type="dcterms:W3CDTF">2024-02-14T08:36:00Z</dcterms:created>
  <dcterms:modified xsi:type="dcterms:W3CDTF">2024-03-11T14:07:00Z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